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Отдельные показатели денежных доходов и расходов населения </w:t>
      </w:r>
    </w:p>
    <w:p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Магаданской области  за 2018-2020 гг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80"/>
        <w:gridCol w:w="1913"/>
        <w:gridCol w:w="1913"/>
        <w:gridCol w:w="1913"/>
        <w:gridCol w:w="1913"/>
        <w:gridCol w:w="1913"/>
      </w:tblGrid>
      <w:tr>
        <w:trPr>
          <w:trHeight w:val="1779"/>
        </w:trPr>
        <w:tc>
          <w:tcPr>
            <w:tcW w:w="590" w:type="pct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денежных   доходов, млн. руб.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Денежные дох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ды в расчете       на душу           населения,   рублей в месяц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Денежные дох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ды на душу населения,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предыдущему году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Реальные д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нежные доходы,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к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предыдущему  году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Реальные ра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полагаемые д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нежные доходы,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к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предыдущему году</w:t>
            </w:r>
          </w:p>
        </w:tc>
      </w:tr>
      <w:tr>
        <w:trPr>
          <w:trHeight w:val="416"/>
        </w:trPr>
        <w:tc>
          <w:tcPr>
            <w:tcW w:w="59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59783,2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  <w:tr>
        <w:trPr>
          <w:trHeight w:val="416"/>
        </w:trPr>
        <w:tc>
          <w:tcPr>
            <w:tcW w:w="59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2019 год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65367,1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</w:tr>
      <w:tr>
        <w:trPr>
          <w:trHeight w:val="416"/>
        </w:trPr>
        <w:tc>
          <w:tcPr>
            <w:tcW w:w="59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2020 год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70982,3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882" w:type="pct"/>
            <w:vAlign w:val="center"/>
          </w:tcPr>
          <w:p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</w:tbl>
    <w:p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Данные пересчитаны в связи с уточнением информации об объемах платных услуг, обороте розни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ной торговли и общественного питания.</w:t>
      </w:r>
    </w:p>
    <w:p>
      <w:pPr>
        <w:spacing w:after="100" w:afterAutospacing="1" w:line="24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9E31-68DD-4832-A28B-48117E34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Александровна</dc:creator>
  <cp:lastModifiedBy>p49_User</cp:lastModifiedBy>
  <cp:revision>52</cp:revision>
  <cp:lastPrinted>2022-05-06T06:34:00Z</cp:lastPrinted>
  <dcterms:created xsi:type="dcterms:W3CDTF">2022-05-04T04:00:00Z</dcterms:created>
  <dcterms:modified xsi:type="dcterms:W3CDTF">2022-05-06T06:35:00Z</dcterms:modified>
</cp:coreProperties>
</file>